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33"/>
          <w:szCs w:val="33"/>
          <w:bdr w:val="none" w:color="auto" w:sz="0" w:space="0"/>
          <w:lang w:val="en-US" w:eastAsia="zh-CN" w:bidi="ar"/>
        </w:rPr>
        <w:t>陕西省工业和信息化厅 陕西省财政厅 关于增补陕西省“工信贷” 合作银行的通知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陕工信发〔2024〕83号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各省级银行：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为进一步落实好陕西省“工信贷”风险补偿政策，加大引导金融服务实体经济力度，根据《陕西省重点产业链和“专精特新”中小企业银行贷款风险补偿实施细则》（陕财办金</w:t>
      </w:r>
      <w:r>
        <w:rPr>
          <w:rFonts w:ascii="仿宋" w:hAnsi="仿宋" w:eastAsia="仿宋" w:cs="仿宋"/>
          <w:color w:val="2B2B2B"/>
          <w:sz w:val="31"/>
          <w:szCs w:val="31"/>
          <w:bdr w:val="none" w:color="auto" w:sz="0" w:space="0"/>
        </w:rPr>
        <w:t>〔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2022</w:t>
      </w:r>
      <w:r>
        <w:rPr>
          <w:rFonts w:hint="eastAsia" w:ascii="仿宋" w:hAnsi="仿宋" w:eastAsia="仿宋" w:cs="仿宋"/>
          <w:color w:val="2B2B2B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45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号）相关要求，按照动态调整原则，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2024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年决定增补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2-3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家“工信贷”合作银行，持续助力我省中小微企业又好又快发展。现将有关事项通知如下：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ascii="黑体" w:hAnsi="宋体" w:eastAsia="黑体" w:cs="黑体"/>
          <w:color w:val="2B2B2B"/>
          <w:sz w:val="31"/>
          <w:szCs w:val="31"/>
          <w:bdr w:val="none" w:color="auto" w:sz="0" w:space="0"/>
        </w:rPr>
        <w:t>一、合作银行申报条件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Style w:val="5"/>
          <w:rFonts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（一）基本条件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．在中华人民共和国境内依法设立的大型国有商业银行、全国性股份制商业银行、异地城商行在陕设立的一级分行、陕西省内依法设立的地方法人银行总行。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</w:t>
      </w:r>
      <w:r>
        <w:rPr>
          <w:rFonts w:hint="eastAsia" w:ascii="仿宋_GB2312" w:hAnsi="Times New Roman" w:eastAsia="仿宋_GB2312" w:cs="仿宋_GB2312"/>
          <w:color w:val="2B2B2B"/>
          <w:spacing w:val="-15"/>
          <w:sz w:val="31"/>
          <w:szCs w:val="31"/>
          <w:bdr w:val="none" w:color="auto" w:sz="0" w:space="0"/>
        </w:rPr>
        <w:t>管理规范、内控机制健全，近两年无重大违法违规违纪事项。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年新增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年期及以上普惠口径小微企业贷款投放不少于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亿元，小微制造业占比较年初提升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0.5%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以上，贷款利率有一定市场竞争优势。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（二）择优条件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．在重点产业链“一链一行”主办行制度中，积极创新供应链产品及服务，有一定开展供应链金融服务基础的银行机构。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．在小微企业贷款利率奖补机制中，服务小微企业，特别是</w:t>
      </w:r>
      <w:r>
        <w:rPr>
          <w:rFonts w:hint="eastAsia" w:ascii="仿宋_GB2312" w:hAnsi="Times New Roman" w:eastAsia="仿宋_GB2312" w:cs="仿宋_GB2312"/>
          <w:color w:val="2B2B2B"/>
          <w:spacing w:val="-15"/>
          <w:sz w:val="31"/>
          <w:szCs w:val="31"/>
          <w:bdr w:val="none" w:color="auto" w:sz="0" w:space="0"/>
        </w:rPr>
        <w:t>制造业小微企业数量多、贷款规模大、期限长、利率低的银行机构。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．开展重点产业链、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专精特新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中小企业专属服务，具有审批效率高、服务企业成效显著的银行机构。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．在“十行千亿惠万企”融资专项行动中，下沉服务，聚焦特色工业园区和省级小微企业双创基地表现突出的银行机构。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黑体" w:hAnsi="宋体" w:eastAsia="黑体" w:cs="黑体"/>
          <w:color w:val="2B2B2B"/>
          <w:sz w:val="31"/>
          <w:szCs w:val="31"/>
          <w:bdr w:val="none" w:color="auto" w:sz="0" w:space="0"/>
        </w:rPr>
        <w:t>二、申报资料清单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（一）基础资料。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．书面申请文件；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．省级分行（一级分行）或法人银行营业执照（复印件）；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工信贷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合作银行申报表（见附件）。包括：申报单位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年普惠小微企业、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专精特新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中小企业的信贷投放规模、利率、不良率等情况；绿色金融业务开展情况；有其他政银合作产品工作经验的申报单位，可将相关工作情况及经济社会效益进行补充说明。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（二）承诺书。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　　申请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工信贷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业务合作资格的银行，承诺书须包括但不限于以下内容：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　　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．承诺自愿接受《陕西省重点产业链和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专精特新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中小微企业贷款风险补偿实施细则》有关要求。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　　2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．承诺依法开展经营活动，近两年在经营活动中无重大违法违规事项。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（三）本行</w:t>
      </w:r>
      <w:r>
        <w:rPr>
          <w:rStyle w:val="5"/>
          <w:rFonts w:hint="default" w:ascii="Times New Roman" w:hAnsi="Times New Roman" w:eastAsia="微软雅黑" w:cs="Times New Roman"/>
          <w:b/>
          <w:bCs/>
          <w:color w:val="2B2B2B"/>
          <w:sz w:val="31"/>
          <w:szCs w:val="31"/>
          <w:bdr w:val="none" w:color="auto" w:sz="0" w:space="0"/>
        </w:rPr>
        <w:t>“</w:t>
      </w: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工信贷</w:t>
      </w:r>
      <w:r>
        <w:rPr>
          <w:rStyle w:val="5"/>
          <w:rFonts w:hint="default" w:ascii="Times New Roman" w:hAnsi="Times New Roman" w:eastAsia="微软雅黑" w:cs="Times New Roman"/>
          <w:b/>
          <w:bCs/>
          <w:color w:val="2B2B2B"/>
          <w:sz w:val="31"/>
          <w:szCs w:val="31"/>
          <w:bdr w:val="none" w:color="auto" w:sz="0" w:space="0"/>
        </w:rPr>
        <w:t>”</w:t>
      </w:r>
      <w:r>
        <w:rPr>
          <w:rStyle w:val="5"/>
          <w:rFonts w:hint="default" w:ascii="楷体_GB2312" w:hAnsi="Times New Roman" w:eastAsia="楷体_GB2312" w:cs="楷体_GB2312"/>
          <w:b/>
          <w:bCs/>
          <w:color w:val="2B2B2B"/>
          <w:sz w:val="31"/>
          <w:szCs w:val="31"/>
          <w:bdr w:val="none" w:color="auto" w:sz="0" w:space="0"/>
        </w:rPr>
        <w:t>业务服务方案。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45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其中包括（但不限于）：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　　1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工信贷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业务组织管理机构情况（包括但不限于是否设立专门部门或机构、主要经营机构及人员构成）。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　　2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．明确相应客户或项目准入条件、审批流程、授信额度、融资成本和服务时效。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　　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．已出台（或拟出台）的针对“工信贷”业务的专项考核、激励和尽职免责等相关文件。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黑体" w:hAnsi="宋体" w:eastAsia="黑体" w:cs="黑体"/>
          <w:color w:val="2B2B2B"/>
          <w:sz w:val="31"/>
          <w:szCs w:val="31"/>
          <w:bdr w:val="none" w:color="auto" w:sz="0" w:space="0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　　（一）各机构申报材料纸质版按顺序制作目录后胶装成册，一式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份，加盖公章（各项资料分别盖章，并加盖骑缝章），于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2024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2</w:t>
      </w:r>
      <w:r>
        <w:rPr>
          <w:rFonts w:hint="default" w:ascii="Times New Roman" w:hAnsi="Times New Roman" w:eastAsia="仿宋_GB2312" w:cs="Times New Roman"/>
          <w:color w:val="2B2B2B"/>
          <w:sz w:val="31"/>
          <w:szCs w:val="31"/>
          <w:bdr w:val="none" w:color="auto" w:sz="0" w:space="0"/>
        </w:rPr>
        <w:t>9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日前送至省工业和信息化厅（省政府前大楼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层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104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室）。同时电子版（纸质版盖章后的扫描件）以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PDF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格式发送至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rzfw029@163.com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　　（二）按照“自愿申报、公正公平、择优选定”的原则，经审核，确定拟增补的陕西省“工信贷”合作银行，并向社会公告。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联系人及电话：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省工业和信息化厅融资服务处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张海兵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 029-63915527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省财政厅金融处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                        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卫帅弟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 029-68936457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附件：“工信贷”合作银行申报表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   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陕西省工业和信息化厅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           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陕西省财政厅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 w:firstLine="630"/>
        <w:jc w:val="both"/>
        <w:rPr>
          <w:rFonts w:hint="default" w:ascii="Times New Roman" w:hAnsi="Times New Roman" w:cs="Times New Roman"/>
          <w:color w:val="2B2B2B"/>
          <w:sz w:val="31"/>
          <w:szCs w:val="31"/>
        </w:rPr>
      </w:pP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                               2024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color w:val="2B2B2B"/>
          <w:sz w:val="31"/>
          <w:szCs w:val="31"/>
          <w:bdr w:val="none" w:color="auto" w:sz="0" w:space="0"/>
        </w:rPr>
        <w:t>19</w:t>
      </w:r>
      <w:r>
        <w:rPr>
          <w:rFonts w:hint="eastAsia" w:ascii="仿宋_GB2312" w:hAnsi="Times New Roman" w:eastAsia="仿宋_GB2312" w:cs="仿宋_GB2312"/>
          <w:color w:val="2B2B2B"/>
          <w:sz w:val="31"/>
          <w:szCs w:val="31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70" w:lineRule="atLeast"/>
        <w:ind w:left="0" w:right="0"/>
        <w:rPr>
          <w:rFonts w:ascii="微软雅黑" w:hAnsi="微软雅黑" w:eastAsia="微软雅黑" w:cs="微软雅黑"/>
          <w:color w:val="2B2B2B"/>
          <w:sz w:val="24"/>
          <w:szCs w:val="24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mMwNDA4ZTE2OWM2ZjQ2YTIzMWY2ODliNzA0N2MifQ=="/>
  </w:docVars>
  <w:rsids>
    <w:rsidRoot w:val="00000000"/>
    <w:rsid w:val="066047CB"/>
    <w:rsid w:val="161F618A"/>
    <w:rsid w:val="3FA039AD"/>
    <w:rsid w:val="5B0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2024-03-05T06:59:00Z</dcterms:created>
  <dc:creator>Lenovo</dc:creator>
  <cp:lastModifiedBy>哪吒</cp:lastModifiedBy>
  <dcterms:modified xsi:type="dcterms:W3CDTF">2024-03-20T03:27:32Z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0AA6419073B34FE0A832FFF654B6FA49_13</vt:lpwstr>
  </property>
</Properties>
</file>